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8B" w:rsidRPr="00E6688E" w:rsidRDefault="002D2994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spacing w:val="0"/>
          <w:sz w:val="32"/>
          <w:szCs w:val="32"/>
        </w:rPr>
      </w:pPr>
      <w:r w:rsidRPr="00D24F76">
        <w:rPr>
          <w:rFonts w:ascii="Calibri" w:hAnsi="Calibri"/>
          <w:noProof/>
          <w:spacing w:val="0"/>
          <w:sz w:val="32"/>
          <w:szCs w:val="32"/>
          <w:lang w:eastAsia="de-DE"/>
        </w:rPr>
        <w:drawing>
          <wp:anchor distT="0" distB="0" distL="114300" distR="114300" simplePos="0" relativeHeight="251659264" behindDoc="0" locked="0" layoutInCell="1" allowOverlap="1" wp14:anchorId="07C98EB3" wp14:editId="5A740ABE">
            <wp:simplePos x="0" y="0"/>
            <wp:positionH relativeFrom="column">
              <wp:posOffset>4165013</wp:posOffset>
            </wp:positionH>
            <wp:positionV relativeFrom="paragraph">
              <wp:posOffset>-702196</wp:posOffset>
            </wp:positionV>
            <wp:extent cx="2120182" cy="468854"/>
            <wp:effectExtent l="0" t="0" r="0" b="762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Lachni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182" cy="468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798B" w:rsidRPr="00E6688E">
        <w:rPr>
          <w:rFonts w:ascii="Calibri" w:hAnsi="Calibri"/>
          <w:spacing w:val="0"/>
          <w:sz w:val="32"/>
          <w:szCs w:val="32"/>
        </w:rPr>
        <w:t>PRESSE</w:t>
      </w:r>
      <w:r w:rsidR="00C23915" w:rsidRPr="00E6688E">
        <w:rPr>
          <w:rFonts w:ascii="Calibri" w:hAnsi="Calibri"/>
          <w:spacing w:val="0"/>
          <w:sz w:val="32"/>
          <w:szCs w:val="32"/>
        </w:rPr>
        <w:t>-</w:t>
      </w:r>
      <w:r w:rsidR="00DC798B" w:rsidRPr="00E6688E">
        <w:rPr>
          <w:rFonts w:ascii="Calibri" w:hAnsi="Calibri"/>
          <w:spacing w:val="0"/>
          <w:sz w:val="32"/>
          <w:szCs w:val="32"/>
        </w:rPr>
        <w:t>INFORMATION</w:t>
      </w:r>
    </w:p>
    <w:p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:rsidR="00DC798B" w:rsidRPr="00C74FCA" w:rsidRDefault="00134C31">
      <w:pPr>
        <w:ind w:left="0"/>
        <w:rPr>
          <w:rFonts w:ascii="Calibri" w:hAnsi="Calibri" w:cs="Arial"/>
          <w:i/>
          <w:spacing w:val="0"/>
        </w:rPr>
      </w:pPr>
      <w:r>
        <w:rPr>
          <w:rFonts w:ascii="Calibri" w:hAnsi="Calibri" w:cs="Arial"/>
          <w:i/>
          <w:spacing w:val="0"/>
        </w:rPr>
        <w:t>Fördertechnik/ Materialfluss</w:t>
      </w:r>
      <w:r w:rsidR="00FC5206">
        <w:rPr>
          <w:rFonts w:ascii="Calibri" w:hAnsi="Calibri" w:cs="Arial"/>
          <w:i/>
          <w:spacing w:val="0"/>
        </w:rPr>
        <w:t>/</w:t>
      </w:r>
      <w:r w:rsidR="005A6DFA" w:rsidRPr="005A6DFA">
        <w:rPr>
          <w:rFonts w:ascii="Calibri" w:hAnsi="Calibri" w:cs="Arial"/>
          <w:i/>
          <w:spacing w:val="0"/>
        </w:rPr>
        <w:t xml:space="preserve"> </w:t>
      </w:r>
      <w:r w:rsidR="005A6DFA">
        <w:rPr>
          <w:rFonts w:ascii="Calibri" w:hAnsi="Calibri" w:cs="Arial"/>
          <w:i/>
          <w:spacing w:val="0"/>
        </w:rPr>
        <w:t xml:space="preserve">Intralogistik/ </w:t>
      </w:r>
      <w:r w:rsidR="005B2EA6" w:rsidRPr="005B2EA6">
        <w:rPr>
          <w:rFonts w:ascii="Calibri" w:hAnsi="Calibri" w:cs="Arial"/>
          <w:i/>
          <w:spacing w:val="0"/>
        </w:rPr>
        <w:t>Lebensmittel-, Chemie- und Pharmaproduktion</w:t>
      </w:r>
    </w:p>
    <w:p w:rsidR="00DC798B" w:rsidRPr="00C74FCA" w:rsidRDefault="00DC798B">
      <w:pPr>
        <w:ind w:left="0"/>
        <w:rPr>
          <w:rFonts w:ascii="Calibri" w:hAnsi="Calibri" w:cs="Arial"/>
        </w:rPr>
      </w:pPr>
    </w:p>
    <w:p w:rsidR="009E6EA1" w:rsidRDefault="000A743B" w:rsidP="00E45E79">
      <w:pPr>
        <w:spacing w:line="360" w:lineRule="auto"/>
        <w:ind w:left="0" w:right="-710"/>
        <w:rPr>
          <w:rFonts w:ascii="Calibri" w:hAnsi="Calibri" w:cs="Arial"/>
          <w:b/>
          <w:sz w:val="52"/>
          <w:szCs w:val="52"/>
        </w:rPr>
      </w:pPr>
      <w:r>
        <w:rPr>
          <w:rFonts w:ascii="Calibri" w:hAnsi="Calibri" w:cs="Arial"/>
          <w:b/>
          <w:sz w:val="52"/>
          <w:szCs w:val="52"/>
        </w:rPr>
        <w:t>Förders</w:t>
      </w:r>
      <w:r w:rsidR="009E6EA1">
        <w:rPr>
          <w:rFonts w:ascii="Calibri" w:hAnsi="Calibri" w:cs="Arial"/>
          <w:b/>
          <w:sz w:val="52"/>
          <w:szCs w:val="52"/>
        </w:rPr>
        <w:t>chnecken aus Edelstahl</w:t>
      </w:r>
    </w:p>
    <w:p w:rsidR="00E6688E" w:rsidRDefault="00E10613" w:rsidP="00E6688E">
      <w:pPr>
        <w:spacing w:line="360" w:lineRule="auto"/>
        <w:ind w:left="0" w:right="-710"/>
        <w:rPr>
          <w:rFonts w:ascii="Calibri" w:hAnsi="Calibri" w:cs="Arial"/>
          <w:b/>
          <w:bCs/>
          <w:sz w:val="24"/>
          <w:szCs w:val="24"/>
        </w:rPr>
      </w:pPr>
      <w:r w:rsidRPr="009F5C20">
        <w:rPr>
          <w:rFonts w:ascii="Calibri" w:hAnsi="Calibri" w:cs="Arial"/>
          <w:b/>
          <w:bCs/>
          <w:sz w:val="24"/>
          <w:szCs w:val="24"/>
        </w:rPr>
        <w:t>EAP Lachnit</w:t>
      </w:r>
      <w:r>
        <w:rPr>
          <w:rFonts w:ascii="Calibri" w:hAnsi="Calibri" w:cs="Arial"/>
          <w:b/>
          <w:bCs/>
          <w:sz w:val="24"/>
          <w:szCs w:val="24"/>
        </w:rPr>
        <w:t xml:space="preserve"> bietet robuste </w:t>
      </w:r>
      <w:r w:rsidR="00F1235D">
        <w:rPr>
          <w:rFonts w:ascii="Calibri" w:hAnsi="Calibri" w:cs="Arial"/>
          <w:b/>
          <w:bCs/>
          <w:sz w:val="24"/>
          <w:szCs w:val="24"/>
        </w:rPr>
        <w:t>Förderschnecke</w:t>
      </w:r>
      <w:r w:rsidR="002941A8">
        <w:rPr>
          <w:rFonts w:ascii="Calibri" w:hAnsi="Calibri" w:cs="Arial"/>
          <w:b/>
          <w:bCs/>
          <w:sz w:val="24"/>
          <w:szCs w:val="24"/>
        </w:rPr>
        <w:t>n</w:t>
      </w:r>
      <w:r w:rsidR="00F1235D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622E19">
        <w:rPr>
          <w:rFonts w:ascii="Calibri" w:hAnsi="Calibri" w:cs="Arial"/>
          <w:b/>
          <w:bCs/>
          <w:sz w:val="24"/>
          <w:szCs w:val="24"/>
        </w:rPr>
        <w:t>für den</w:t>
      </w:r>
      <w:r w:rsidR="00F1235D">
        <w:rPr>
          <w:rFonts w:ascii="Calibri" w:hAnsi="Calibri" w:cs="Arial"/>
          <w:b/>
          <w:bCs/>
          <w:sz w:val="24"/>
          <w:szCs w:val="24"/>
        </w:rPr>
        <w:t xml:space="preserve"> </w:t>
      </w:r>
      <w:r>
        <w:rPr>
          <w:rFonts w:ascii="Calibri" w:hAnsi="Calibri" w:cs="Arial"/>
          <w:b/>
          <w:bCs/>
          <w:sz w:val="24"/>
          <w:szCs w:val="24"/>
        </w:rPr>
        <w:t xml:space="preserve">Einsatz in der </w:t>
      </w:r>
      <w:r w:rsidRPr="00F53FED">
        <w:rPr>
          <w:rFonts w:ascii="Calibri" w:hAnsi="Calibri" w:cs="Arial"/>
          <w:b/>
          <w:sz w:val="24"/>
          <w:szCs w:val="24"/>
        </w:rPr>
        <w:t xml:space="preserve">Lebensmittel-, </w:t>
      </w:r>
      <w:r w:rsidRPr="000A743B">
        <w:rPr>
          <w:rFonts w:ascii="Calibri" w:hAnsi="Calibri" w:cs="Arial"/>
          <w:b/>
          <w:bCs/>
          <w:sz w:val="24"/>
          <w:szCs w:val="24"/>
        </w:rPr>
        <w:t>Chemie- und Pharmaproduktion</w:t>
      </w:r>
      <w:r w:rsidR="002D2994" w:rsidRPr="000A743B">
        <w:rPr>
          <w:rFonts w:ascii="Calibri" w:hAnsi="Calibri" w:cs="Arial"/>
          <w:b/>
          <w:bCs/>
          <w:sz w:val="24"/>
          <w:szCs w:val="24"/>
        </w:rPr>
        <w:t xml:space="preserve"> an</w:t>
      </w:r>
      <w:r w:rsidR="000A743B" w:rsidRPr="000A743B">
        <w:rPr>
          <w:rFonts w:ascii="Calibri" w:hAnsi="Calibri" w:cs="Arial"/>
          <w:b/>
          <w:bCs/>
          <w:sz w:val="24"/>
          <w:szCs w:val="24"/>
        </w:rPr>
        <w:t xml:space="preserve">, </w:t>
      </w:r>
      <w:r w:rsidR="000A743B" w:rsidRPr="00AE41FB">
        <w:rPr>
          <w:rFonts w:ascii="Calibri" w:hAnsi="Calibri" w:cs="Arial"/>
          <w:b/>
          <w:bCs/>
          <w:sz w:val="24"/>
          <w:szCs w:val="24"/>
        </w:rPr>
        <w:t>die auch für ReWork-Prozesse geeignet sind</w:t>
      </w:r>
    </w:p>
    <w:p w:rsidR="00C80C8B" w:rsidRDefault="00C80C8B" w:rsidP="00370294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</w:p>
    <w:p w:rsidR="00E10613" w:rsidRPr="0050220C" w:rsidRDefault="00E10613" w:rsidP="00E10613">
      <w:pPr>
        <w:spacing w:line="360" w:lineRule="auto"/>
        <w:ind w:left="0" w:right="-568"/>
        <w:jc w:val="both"/>
        <w:rPr>
          <w:rFonts w:ascii="Calibri" w:hAnsi="Calibri" w:cs="Arial"/>
          <w:b/>
          <w:sz w:val="24"/>
          <w:szCs w:val="24"/>
        </w:rPr>
      </w:pPr>
      <w:r w:rsidRPr="00F53FED">
        <w:rPr>
          <w:rFonts w:ascii="Calibri" w:hAnsi="Calibri" w:cs="Arial"/>
          <w:b/>
          <w:sz w:val="24"/>
          <w:szCs w:val="24"/>
        </w:rPr>
        <w:t xml:space="preserve">Förderschnecken </w:t>
      </w:r>
      <w:r>
        <w:rPr>
          <w:rFonts w:ascii="Calibri" w:hAnsi="Calibri" w:cs="Arial"/>
          <w:b/>
          <w:sz w:val="24"/>
          <w:szCs w:val="24"/>
        </w:rPr>
        <w:t xml:space="preserve">von EAP Lachnit sind die beste Wahl für den Transport und die Dosierung der unterschiedlichsten Güter in der </w:t>
      </w:r>
      <w:r w:rsidRPr="00F53FED">
        <w:rPr>
          <w:rFonts w:ascii="Calibri" w:hAnsi="Calibri" w:cs="Arial"/>
          <w:b/>
          <w:sz w:val="24"/>
          <w:szCs w:val="24"/>
        </w:rPr>
        <w:t>Lebensmittel-, Chemie- und Pharmaproduktion</w:t>
      </w:r>
      <w:r>
        <w:rPr>
          <w:rFonts w:ascii="Calibri" w:hAnsi="Calibri" w:cs="Arial"/>
          <w:b/>
          <w:sz w:val="24"/>
          <w:szCs w:val="24"/>
        </w:rPr>
        <w:t xml:space="preserve">. Die Edelstahlausführung erfüllt </w:t>
      </w:r>
      <w:r w:rsidRPr="0050220C">
        <w:rPr>
          <w:rFonts w:ascii="Calibri" w:hAnsi="Calibri" w:cs="Arial"/>
          <w:b/>
          <w:sz w:val="24"/>
          <w:szCs w:val="24"/>
        </w:rPr>
        <w:t>höchste Hygieneanforderungen</w:t>
      </w:r>
      <w:r>
        <w:rPr>
          <w:rFonts w:ascii="Calibri" w:hAnsi="Calibri" w:cs="Arial"/>
          <w:b/>
          <w:sz w:val="24"/>
          <w:szCs w:val="24"/>
        </w:rPr>
        <w:t xml:space="preserve"> und vereinfacht die Reinigung. Sie eignen sich zur </w:t>
      </w:r>
      <w:r w:rsidRPr="0050220C">
        <w:rPr>
          <w:rFonts w:ascii="Calibri" w:hAnsi="Calibri" w:cs="Arial"/>
          <w:b/>
          <w:sz w:val="24"/>
          <w:szCs w:val="24"/>
        </w:rPr>
        <w:t>Dosierung von Schüttgut</w:t>
      </w:r>
      <w:r w:rsidR="007E150E">
        <w:rPr>
          <w:rFonts w:ascii="Calibri" w:hAnsi="Calibri" w:cs="Arial"/>
          <w:b/>
          <w:sz w:val="24"/>
          <w:szCs w:val="24"/>
        </w:rPr>
        <w:t xml:space="preserve"> sowie </w:t>
      </w:r>
      <w:r w:rsidR="007A5763">
        <w:rPr>
          <w:rFonts w:ascii="Calibri" w:hAnsi="Calibri" w:cs="Arial"/>
          <w:b/>
          <w:sz w:val="24"/>
          <w:szCs w:val="24"/>
        </w:rPr>
        <w:t xml:space="preserve">für </w:t>
      </w:r>
      <w:r w:rsidR="007E150E" w:rsidRPr="007A5763">
        <w:rPr>
          <w:rFonts w:ascii="Calibri" w:hAnsi="Calibri" w:cs="Arial"/>
          <w:b/>
          <w:sz w:val="24"/>
          <w:szCs w:val="24"/>
        </w:rPr>
        <w:t>ReWork-Prozess</w:t>
      </w:r>
      <w:r w:rsidR="007A5763" w:rsidRPr="007A5763">
        <w:rPr>
          <w:rFonts w:ascii="Calibri" w:hAnsi="Calibri" w:cs="Arial"/>
          <w:b/>
          <w:sz w:val="24"/>
          <w:szCs w:val="24"/>
        </w:rPr>
        <w:t>e</w:t>
      </w:r>
      <w:r w:rsidR="007A5763">
        <w:rPr>
          <w:rFonts w:ascii="Calibri" w:hAnsi="Calibri" w:cs="Arial"/>
          <w:b/>
          <w:sz w:val="24"/>
          <w:szCs w:val="24"/>
        </w:rPr>
        <w:t xml:space="preserve"> in der Lebensmittelproduktion</w:t>
      </w:r>
      <w:r>
        <w:rPr>
          <w:rFonts w:ascii="Calibri" w:hAnsi="Calibri" w:cs="Arial"/>
          <w:b/>
          <w:sz w:val="24"/>
          <w:szCs w:val="24"/>
        </w:rPr>
        <w:t xml:space="preserve">. EAP Lachnit bietet Förderschnecken auch individuell konfigurierbar als robuste und langlebige Förderanlagen an. </w:t>
      </w:r>
    </w:p>
    <w:p w:rsidR="005C1C99" w:rsidRPr="00D7505F" w:rsidRDefault="005C1C99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E10613" w:rsidRDefault="006A28B6" w:rsidP="00E10613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5B2EA6">
        <w:rPr>
          <w:rFonts w:ascii="Calibri" w:hAnsi="Calibri" w:cs="Arial"/>
          <w:i/>
          <w:sz w:val="22"/>
          <w:szCs w:val="22"/>
        </w:rPr>
        <w:t xml:space="preserve">Elchingen, </w:t>
      </w:r>
      <w:r w:rsidR="009B314C">
        <w:rPr>
          <w:rFonts w:ascii="Calibri" w:hAnsi="Calibri" w:cs="Arial"/>
          <w:i/>
          <w:sz w:val="22"/>
          <w:szCs w:val="22"/>
        </w:rPr>
        <w:t>Juni</w:t>
      </w:r>
      <w:r w:rsidRPr="005B2EA6">
        <w:rPr>
          <w:rFonts w:ascii="Calibri" w:hAnsi="Calibri" w:cs="Arial"/>
          <w:i/>
          <w:sz w:val="22"/>
          <w:szCs w:val="22"/>
        </w:rPr>
        <w:t xml:space="preserve"> 20</w:t>
      </w:r>
      <w:r w:rsidR="00F1235D" w:rsidRPr="005B2EA6">
        <w:rPr>
          <w:rFonts w:ascii="Calibri" w:hAnsi="Calibri" w:cs="Arial"/>
          <w:i/>
          <w:sz w:val="22"/>
          <w:szCs w:val="22"/>
        </w:rPr>
        <w:t>2</w:t>
      </w:r>
      <w:r w:rsidR="009E6EA1">
        <w:rPr>
          <w:rFonts w:ascii="Calibri" w:hAnsi="Calibri" w:cs="Arial"/>
          <w:i/>
          <w:sz w:val="22"/>
          <w:szCs w:val="22"/>
        </w:rPr>
        <w:t>5</w:t>
      </w:r>
      <w:r w:rsidRPr="005B2EA6">
        <w:rPr>
          <w:rFonts w:ascii="Calibri" w:hAnsi="Calibri" w:cs="Arial"/>
          <w:i/>
          <w:sz w:val="22"/>
          <w:szCs w:val="22"/>
        </w:rPr>
        <w:t xml:space="preserve"> –</w:t>
      </w:r>
      <w:r w:rsidRPr="009F5C20">
        <w:rPr>
          <w:rFonts w:ascii="Calibri" w:hAnsi="Calibri" w:cs="Arial"/>
          <w:sz w:val="22"/>
          <w:szCs w:val="22"/>
        </w:rPr>
        <w:t xml:space="preserve"> </w:t>
      </w:r>
      <w:r w:rsidR="00E10613" w:rsidRPr="005B2EA6">
        <w:rPr>
          <w:rFonts w:ascii="Calibri" w:hAnsi="Calibri" w:cs="Arial"/>
          <w:sz w:val="22"/>
          <w:szCs w:val="22"/>
        </w:rPr>
        <w:t>Förderschnecken</w:t>
      </w:r>
      <w:r w:rsidR="00E10613" w:rsidRPr="00D7505F">
        <w:rPr>
          <w:rFonts w:ascii="Calibri" w:hAnsi="Calibri" w:cs="Arial"/>
          <w:sz w:val="22"/>
          <w:szCs w:val="22"/>
        </w:rPr>
        <w:t xml:space="preserve"> sind Transportsysteme</w:t>
      </w:r>
      <w:r w:rsidR="00E10613">
        <w:rPr>
          <w:rFonts w:ascii="Calibri" w:hAnsi="Calibri" w:cs="Arial"/>
          <w:sz w:val="22"/>
          <w:szCs w:val="22"/>
        </w:rPr>
        <w:t>, die sich</w:t>
      </w:r>
      <w:r w:rsidR="00E10613" w:rsidRPr="00D7505F">
        <w:rPr>
          <w:rFonts w:ascii="Calibri" w:hAnsi="Calibri" w:cs="Arial"/>
          <w:sz w:val="22"/>
          <w:szCs w:val="22"/>
        </w:rPr>
        <w:t xml:space="preserve"> für die sichere </w:t>
      </w:r>
      <w:r w:rsidR="00E10613">
        <w:rPr>
          <w:rFonts w:ascii="Calibri" w:hAnsi="Calibri" w:cs="Arial"/>
          <w:sz w:val="22"/>
          <w:szCs w:val="22"/>
        </w:rPr>
        <w:t>F</w:t>
      </w:r>
      <w:r w:rsidR="00E10613" w:rsidRPr="00D7505F">
        <w:rPr>
          <w:rFonts w:ascii="Calibri" w:hAnsi="Calibri" w:cs="Arial"/>
          <w:sz w:val="22"/>
          <w:szCs w:val="22"/>
        </w:rPr>
        <w:t>örderung von Schüttgütern unterschiedlichster Beschaffenheit</w:t>
      </w:r>
      <w:r w:rsidR="00E10613">
        <w:rPr>
          <w:rFonts w:ascii="Calibri" w:hAnsi="Calibri" w:cs="Arial"/>
          <w:sz w:val="22"/>
          <w:szCs w:val="22"/>
        </w:rPr>
        <w:t xml:space="preserve"> eignen. Sie</w:t>
      </w:r>
      <w:r w:rsidR="00E10613" w:rsidRPr="00D7505F">
        <w:rPr>
          <w:rFonts w:ascii="Calibri" w:hAnsi="Calibri" w:cs="Arial"/>
          <w:sz w:val="22"/>
          <w:szCs w:val="22"/>
        </w:rPr>
        <w:t xml:space="preserve"> arbeite</w:t>
      </w:r>
      <w:r w:rsidR="00E10613">
        <w:rPr>
          <w:rFonts w:ascii="Calibri" w:hAnsi="Calibri" w:cs="Arial"/>
          <w:sz w:val="22"/>
          <w:szCs w:val="22"/>
        </w:rPr>
        <w:t>n</w:t>
      </w:r>
      <w:r w:rsidR="00E10613" w:rsidRPr="00D7505F">
        <w:rPr>
          <w:rFonts w:ascii="Calibri" w:hAnsi="Calibri" w:cs="Arial"/>
          <w:sz w:val="22"/>
          <w:szCs w:val="22"/>
        </w:rPr>
        <w:t xml:space="preserve"> nach dem Prinzip einer sich drehenden Schraube (archimedische Schraube) aus robustem und langlebigem Edelstahl. Auf de</w:t>
      </w:r>
      <w:r w:rsidR="00E10613">
        <w:rPr>
          <w:rFonts w:ascii="Calibri" w:hAnsi="Calibri" w:cs="Arial"/>
          <w:sz w:val="22"/>
          <w:szCs w:val="22"/>
        </w:rPr>
        <w:t>r Schraube</w:t>
      </w:r>
      <w:r w:rsidR="00E10613" w:rsidRPr="00D7505F">
        <w:rPr>
          <w:rFonts w:ascii="Calibri" w:hAnsi="Calibri" w:cs="Arial"/>
          <w:sz w:val="22"/>
          <w:szCs w:val="22"/>
        </w:rPr>
        <w:t xml:space="preserve"> liegt das Schüttgut, das durch kontinuierliches Drehen in die gewünschte Richtung transportiert wird. Die Förderschnecke kann horizontal, vertikal oder auch schräg ausgerichtet sein. Die rotierende </w:t>
      </w:r>
      <w:r w:rsidR="00E10613" w:rsidRPr="00F53FED">
        <w:rPr>
          <w:rFonts w:ascii="Calibri" w:hAnsi="Calibri" w:cs="Arial"/>
          <w:sz w:val="22"/>
          <w:szCs w:val="22"/>
        </w:rPr>
        <w:t>Wendel</w:t>
      </w:r>
      <w:r w:rsidR="00E10613" w:rsidRPr="00D7505F">
        <w:rPr>
          <w:rFonts w:ascii="Calibri" w:hAnsi="Calibri" w:cs="Arial"/>
          <w:sz w:val="22"/>
          <w:szCs w:val="22"/>
        </w:rPr>
        <w:t xml:space="preserve"> befindet sich </w:t>
      </w:r>
      <w:r w:rsidR="00E10613">
        <w:rPr>
          <w:rFonts w:ascii="Calibri" w:hAnsi="Calibri" w:cs="Arial"/>
          <w:sz w:val="22"/>
          <w:szCs w:val="22"/>
        </w:rPr>
        <w:t xml:space="preserve">in der Regel </w:t>
      </w:r>
      <w:r w:rsidR="00E10613" w:rsidRPr="00D7505F">
        <w:rPr>
          <w:rFonts w:ascii="Calibri" w:hAnsi="Calibri" w:cs="Arial"/>
          <w:sz w:val="22"/>
          <w:szCs w:val="22"/>
        </w:rPr>
        <w:t xml:space="preserve">in einem Rohr, </w:t>
      </w:r>
      <w:r w:rsidR="00E10613" w:rsidRPr="00F53FED">
        <w:rPr>
          <w:rFonts w:ascii="Calibri" w:hAnsi="Calibri" w:cs="Arial"/>
          <w:sz w:val="22"/>
          <w:szCs w:val="22"/>
        </w:rPr>
        <w:t>einem U- oder Omega-Trog</w:t>
      </w:r>
      <w:r w:rsidR="00E10613">
        <w:rPr>
          <w:rFonts w:ascii="Calibri" w:hAnsi="Calibri" w:cs="Arial"/>
          <w:sz w:val="22"/>
          <w:szCs w:val="22"/>
        </w:rPr>
        <w:t>, welche</w:t>
      </w:r>
      <w:r w:rsidR="00E10613" w:rsidRPr="00D7505F">
        <w:rPr>
          <w:rFonts w:ascii="Calibri" w:hAnsi="Calibri" w:cs="Arial"/>
          <w:sz w:val="22"/>
          <w:szCs w:val="22"/>
        </w:rPr>
        <w:t xml:space="preserve"> als Begrenzung für das </w:t>
      </w:r>
      <w:r w:rsidR="00E10613" w:rsidRPr="00F53FED">
        <w:rPr>
          <w:rFonts w:ascii="Calibri" w:hAnsi="Calibri" w:cs="Arial"/>
          <w:sz w:val="22"/>
          <w:szCs w:val="22"/>
        </w:rPr>
        <w:t>Fördergut</w:t>
      </w:r>
      <w:r w:rsidR="00E10613">
        <w:rPr>
          <w:rFonts w:ascii="Calibri" w:hAnsi="Calibri" w:cs="Arial"/>
          <w:sz w:val="22"/>
          <w:szCs w:val="22"/>
        </w:rPr>
        <w:t xml:space="preserve"> </w:t>
      </w:r>
      <w:r w:rsidR="00E10613" w:rsidRPr="00F53FED">
        <w:rPr>
          <w:rFonts w:ascii="Calibri" w:hAnsi="Calibri" w:cs="Arial"/>
          <w:sz w:val="22"/>
          <w:szCs w:val="22"/>
        </w:rPr>
        <w:t>dienen</w:t>
      </w:r>
      <w:r w:rsidR="00E10613" w:rsidRPr="00D7505F">
        <w:rPr>
          <w:rFonts w:ascii="Calibri" w:hAnsi="Calibri" w:cs="Arial"/>
          <w:sz w:val="22"/>
          <w:szCs w:val="22"/>
        </w:rPr>
        <w:t>.</w:t>
      </w:r>
      <w:r w:rsidR="00E10613">
        <w:rPr>
          <w:rFonts w:ascii="Calibri" w:hAnsi="Calibri" w:cs="Arial"/>
          <w:sz w:val="22"/>
          <w:szCs w:val="22"/>
        </w:rPr>
        <w:t xml:space="preserve"> </w:t>
      </w:r>
    </w:p>
    <w:p w:rsidR="00E10613" w:rsidRDefault="00E10613" w:rsidP="00E10613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Für die vielfältigen Anwendungen in der Lebensmittelproduktion (</w:t>
      </w:r>
      <w:r w:rsidR="002D2994">
        <w:rPr>
          <w:rFonts w:ascii="Calibri" w:hAnsi="Calibri" w:cs="Arial"/>
          <w:sz w:val="22"/>
          <w:szCs w:val="22"/>
        </w:rPr>
        <w:t>beispielsweise</w:t>
      </w:r>
      <w:r>
        <w:rPr>
          <w:rFonts w:ascii="Calibri" w:hAnsi="Calibri" w:cs="Arial"/>
          <w:sz w:val="22"/>
          <w:szCs w:val="22"/>
        </w:rPr>
        <w:t xml:space="preserve"> O</w:t>
      </w:r>
      <w:r w:rsidRPr="00E10613">
        <w:rPr>
          <w:rFonts w:ascii="Calibri" w:hAnsi="Calibri" w:cs="Arial"/>
          <w:sz w:val="22"/>
          <w:szCs w:val="22"/>
        </w:rPr>
        <w:t>bst</w:t>
      </w:r>
      <w:r>
        <w:rPr>
          <w:rFonts w:ascii="Calibri" w:hAnsi="Calibri" w:cs="Arial"/>
          <w:sz w:val="22"/>
          <w:szCs w:val="22"/>
        </w:rPr>
        <w:t xml:space="preserve">, </w:t>
      </w:r>
      <w:r w:rsidRPr="00E10613">
        <w:rPr>
          <w:rFonts w:ascii="Calibri" w:hAnsi="Calibri" w:cs="Arial"/>
          <w:sz w:val="22"/>
          <w:szCs w:val="22"/>
        </w:rPr>
        <w:t xml:space="preserve">Gemüse </w:t>
      </w:r>
      <w:r>
        <w:rPr>
          <w:rFonts w:ascii="Calibri" w:hAnsi="Calibri" w:cs="Arial"/>
          <w:sz w:val="22"/>
          <w:szCs w:val="22"/>
        </w:rPr>
        <w:t xml:space="preserve">oder </w:t>
      </w:r>
      <w:r w:rsidRPr="00E10613">
        <w:rPr>
          <w:rFonts w:ascii="Calibri" w:hAnsi="Calibri" w:cs="Arial"/>
          <w:sz w:val="22"/>
          <w:szCs w:val="22"/>
        </w:rPr>
        <w:t>Fleisch</w:t>
      </w:r>
      <w:r>
        <w:rPr>
          <w:rFonts w:ascii="Calibri" w:hAnsi="Calibri" w:cs="Arial"/>
          <w:sz w:val="22"/>
          <w:szCs w:val="22"/>
        </w:rPr>
        <w:t>) oder körnige Substanzen, etwa in der Chemie- oder Pharmaproduktion</w:t>
      </w:r>
      <w:r w:rsidR="002D2994">
        <w:rPr>
          <w:rFonts w:ascii="Calibri" w:hAnsi="Calibri" w:cs="Arial"/>
          <w:sz w:val="22"/>
          <w:szCs w:val="22"/>
        </w:rPr>
        <w:t>,</w:t>
      </w:r>
      <w:r>
        <w:rPr>
          <w:rFonts w:ascii="Calibri" w:hAnsi="Calibri" w:cs="Arial"/>
          <w:sz w:val="22"/>
          <w:szCs w:val="22"/>
        </w:rPr>
        <w:t xml:space="preserve"> sind die Förderschnecken perfekt als Transportmedium geeignet.</w:t>
      </w:r>
    </w:p>
    <w:p w:rsidR="007A5763" w:rsidRDefault="007A5763" w:rsidP="00E10613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Eine weitere interessante wie wirtschaftliche Anwendung sind </w:t>
      </w:r>
      <w:r w:rsidRPr="007A5763">
        <w:rPr>
          <w:rFonts w:ascii="Calibri" w:hAnsi="Calibri" w:cs="Arial"/>
          <w:sz w:val="22"/>
          <w:szCs w:val="22"/>
        </w:rPr>
        <w:t>ReWork-Prozesse in der Lebensmittelproduktion</w:t>
      </w:r>
      <w:r>
        <w:rPr>
          <w:rFonts w:ascii="Calibri" w:hAnsi="Calibri" w:cs="Arial"/>
          <w:sz w:val="22"/>
          <w:szCs w:val="22"/>
        </w:rPr>
        <w:t xml:space="preserve">, wie etwa </w:t>
      </w:r>
      <w:r w:rsidR="0021394C">
        <w:rPr>
          <w:rFonts w:ascii="Calibri" w:hAnsi="Calibri" w:cs="Arial"/>
          <w:sz w:val="22"/>
          <w:szCs w:val="22"/>
        </w:rPr>
        <w:t xml:space="preserve">bei </w:t>
      </w:r>
      <w:r>
        <w:rPr>
          <w:rFonts w:ascii="Calibri" w:hAnsi="Calibri" w:cs="Arial"/>
          <w:sz w:val="22"/>
          <w:szCs w:val="22"/>
        </w:rPr>
        <w:t xml:space="preserve">der Herstellung von Schmelzkäse. Dabei geht es um das Wiederverwenden von Lebensmittel, die beispielsweise bei Förder- oder Verarbeitungsprozessen ausgesondert wurden. Sofern diese </w:t>
      </w:r>
      <w:r w:rsidRPr="007A5763">
        <w:rPr>
          <w:rFonts w:ascii="Calibri" w:hAnsi="Calibri" w:cs="Arial"/>
          <w:sz w:val="22"/>
          <w:szCs w:val="22"/>
        </w:rPr>
        <w:t>hygienisch unbedenklich und unverfälscht</w:t>
      </w:r>
      <w:r>
        <w:rPr>
          <w:rFonts w:ascii="Calibri" w:hAnsi="Calibri" w:cs="Arial"/>
          <w:sz w:val="22"/>
          <w:szCs w:val="22"/>
        </w:rPr>
        <w:t xml:space="preserve"> sind, können sie n</w:t>
      </w:r>
      <w:r w:rsidRPr="007A5763">
        <w:rPr>
          <w:rFonts w:ascii="Calibri" w:hAnsi="Calibri" w:cs="Arial"/>
          <w:sz w:val="22"/>
          <w:szCs w:val="22"/>
        </w:rPr>
        <w:t>ach erfolgreiche</w:t>
      </w:r>
      <w:r>
        <w:rPr>
          <w:rFonts w:ascii="Calibri" w:hAnsi="Calibri" w:cs="Arial"/>
          <w:sz w:val="22"/>
          <w:szCs w:val="22"/>
        </w:rPr>
        <w:t>r</w:t>
      </w:r>
      <w:r w:rsidRPr="007A5763">
        <w:rPr>
          <w:rFonts w:ascii="Calibri" w:hAnsi="Calibri" w:cs="Arial"/>
          <w:sz w:val="22"/>
          <w:szCs w:val="22"/>
        </w:rPr>
        <w:t xml:space="preserve"> Aufbe</w:t>
      </w:r>
      <w:r>
        <w:rPr>
          <w:rFonts w:ascii="Calibri" w:hAnsi="Calibri" w:cs="Arial"/>
          <w:sz w:val="22"/>
          <w:szCs w:val="22"/>
        </w:rPr>
        <w:t>r</w:t>
      </w:r>
      <w:r w:rsidRPr="007A5763">
        <w:rPr>
          <w:rFonts w:ascii="Calibri" w:hAnsi="Calibri" w:cs="Arial"/>
          <w:sz w:val="22"/>
          <w:szCs w:val="22"/>
        </w:rPr>
        <w:t xml:space="preserve">eitung wieder als hochqualitativer Rohstoff </w:t>
      </w:r>
      <w:r>
        <w:rPr>
          <w:rFonts w:ascii="Calibri" w:hAnsi="Calibri" w:cs="Arial"/>
          <w:sz w:val="22"/>
          <w:szCs w:val="22"/>
        </w:rPr>
        <w:t xml:space="preserve">der </w:t>
      </w:r>
      <w:r w:rsidRPr="007A5763">
        <w:rPr>
          <w:rFonts w:ascii="Calibri" w:hAnsi="Calibri" w:cs="Arial"/>
          <w:sz w:val="22"/>
          <w:szCs w:val="22"/>
        </w:rPr>
        <w:t>Produktion zugeführt</w:t>
      </w:r>
      <w:r>
        <w:rPr>
          <w:rFonts w:ascii="Calibri" w:hAnsi="Calibri" w:cs="Arial"/>
          <w:sz w:val="22"/>
          <w:szCs w:val="22"/>
        </w:rPr>
        <w:t xml:space="preserve"> werden. Als </w:t>
      </w:r>
      <w:r w:rsidR="009B314C">
        <w:rPr>
          <w:rFonts w:ascii="Calibri" w:hAnsi="Calibri" w:cs="Arial"/>
          <w:sz w:val="22"/>
          <w:szCs w:val="22"/>
        </w:rPr>
        <w:t>Transport</w:t>
      </w:r>
      <w:r>
        <w:rPr>
          <w:rFonts w:ascii="Calibri" w:hAnsi="Calibri" w:cs="Arial"/>
          <w:sz w:val="22"/>
          <w:szCs w:val="22"/>
        </w:rPr>
        <w:t xml:space="preserve">medium dient hier ebenfalls eine </w:t>
      </w:r>
      <w:r w:rsidRPr="005B2EA6">
        <w:rPr>
          <w:rFonts w:ascii="Calibri" w:hAnsi="Calibri" w:cs="Arial"/>
          <w:sz w:val="22"/>
          <w:szCs w:val="22"/>
        </w:rPr>
        <w:lastRenderedPageBreak/>
        <w:t>Förderschnecke</w:t>
      </w:r>
      <w:r>
        <w:rPr>
          <w:rFonts w:ascii="Calibri" w:hAnsi="Calibri" w:cs="Arial"/>
          <w:sz w:val="22"/>
          <w:szCs w:val="22"/>
        </w:rPr>
        <w:t xml:space="preserve">. Eine sehr </w:t>
      </w:r>
      <w:r w:rsidR="001D401D" w:rsidRPr="00AE41FB">
        <w:rPr>
          <w:rFonts w:ascii="Calibri" w:hAnsi="Calibri" w:cs="Arial"/>
          <w:sz w:val="22"/>
          <w:szCs w:val="22"/>
        </w:rPr>
        <w:t>kostengünstige</w:t>
      </w:r>
      <w:r w:rsidRPr="00AE41F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Variante in der Lebensmittelproduktion, die zudem der Verschwendung von Ressourcen entgegenwirkt.</w:t>
      </w:r>
    </w:p>
    <w:p w:rsidR="005C5A84" w:rsidRPr="00AE41FB" w:rsidRDefault="005C5A84" w:rsidP="005C5A84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AE41FB">
        <w:rPr>
          <w:rFonts w:ascii="Calibri" w:hAnsi="Calibri" w:cs="Arial"/>
          <w:sz w:val="22"/>
          <w:szCs w:val="22"/>
        </w:rPr>
        <w:t xml:space="preserve">Optional können die Förderschnecken im Betrieb dampfbeheizt werden. Dadurch lassen sich beispielsweise pulverförmige, pastöse oder flüssige Schüttgüter kontinuierlich erwärmen und/oder trocknen. </w:t>
      </w:r>
    </w:p>
    <w:p w:rsidR="00E10613" w:rsidRDefault="00E10613" w:rsidP="00E10613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E10613" w:rsidRPr="006C6E78" w:rsidRDefault="00991B62" w:rsidP="00E10613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Fördern und Dosieren</w:t>
      </w:r>
    </w:p>
    <w:p w:rsidR="00991B62" w:rsidRPr="003009DD" w:rsidRDefault="00E10613" w:rsidP="00991B62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 w:rsidRPr="00D7505F">
        <w:rPr>
          <w:rFonts w:ascii="Calibri" w:hAnsi="Calibri" w:cs="Arial"/>
          <w:sz w:val="22"/>
          <w:szCs w:val="22"/>
        </w:rPr>
        <w:t xml:space="preserve">Durch ihre modulare Bauweise sind </w:t>
      </w:r>
      <w:r w:rsidR="009B314C" w:rsidRPr="005B2EA6">
        <w:rPr>
          <w:rFonts w:ascii="Calibri" w:hAnsi="Calibri" w:cs="Arial"/>
          <w:sz w:val="22"/>
          <w:szCs w:val="22"/>
        </w:rPr>
        <w:t>Förderschnecke</w:t>
      </w:r>
      <w:r w:rsidR="009B314C">
        <w:rPr>
          <w:rFonts w:ascii="Calibri" w:hAnsi="Calibri" w:cs="Arial"/>
          <w:sz w:val="22"/>
          <w:szCs w:val="22"/>
        </w:rPr>
        <w:t xml:space="preserve">n </w:t>
      </w:r>
      <w:r w:rsidRPr="00D7505F">
        <w:rPr>
          <w:rFonts w:ascii="Calibri" w:hAnsi="Calibri" w:cs="Arial"/>
          <w:sz w:val="22"/>
          <w:szCs w:val="22"/>
        </w:rPr>
        <w:t>auch über lange Distanzen</w:t>
      </w:r>
      <w:r w:rsidR="00F603F6">
        <w:rPr>
          <w:rFonts w:ascii="Calibri" w:hAnsi="Calibri" w:cs="Arial"/>
          <w:sz w:val="22"/>
          <w:szCs w:val="22"/>
        </w:rPr>
        <w:t xml:space="preserve">, bis zu sechs Meter </w:t>
      </w:r>
      <w:r w:rsidRPr="00D7505F">
        <w:rPr>
          <w:rFonts w:ascii="Calibri" w:hAnsi="Calibri" w:cs="Arial"/>
          <w:sz w:val="22"/>
          <w:szCs w:val="22"/>
        </w:rPr>
        <w:t xml:space="preserve">einsetzbar. </w:t>
      </w:r>
      <w:r>
        <w:rPr>
          <w:rFonts w:ascii="Calibri" w:hAnsi="Calibri" w:cs="Arial"/>
          <w:sz w:val="22"/>
          <w:szCs w:val="22"/>
        </w:rPr>
        <w:t>In der Regel</w:t>
      </w:r>
      <w:r w:rsidRPr="00D7505F">
        <w:rPr>
          <w:rFonts w:ascii="Calibri" w:hAnsi="Calibri" w:cs="Arial"/>
          <w:sz w:val="22"/>
          <w:szCs w:val="22"/>
        </w:rPr>
        <w:t xml:space="preserve"> schließen zwei Lagereinheiten – am Anfang und Ende der Schnecke – das System ab. Je nach geforderter Länge </w:t>
      </w:r>
      <w:r>
        <w:rPr>
          <w:rFonts w:ascii="Calibri" w:hAnsi="Calibri" w:cs="Arial"/>
          <w:sz w:val="22"/>
          <w:szCs w:val="22"/>
        </w:rPr>
        <w:t xml:space="preserve">können auch </w:t>
      </w:r>
      <w:r w:rsidRPr="00D7505F">
        <w:rPr>
          <w:rFonts w:ascii="Calibri" w:hAnsi="Calibri" w:cs="Arial"/>
          <w:sz w:val="22"/>
          <w:szCs w:val="22"/>
        </w:rPr>
        <w:t>mehrere Zwischenlager verbaut</w:t>
      </w:r>
      <w:r w:rsidRPr="002941A8">
        <w:rPr>
          <w:rFonts w:ascii="Calibri" w:hAnsi="Calibri" w:cs="Arial"/>
          <w:sz w:val="22"/>
          <w:szCs w:val="22"/>
        </w:rPr>
        <w:t xml:space="preserve"> </w:t>
      </w:r>
      <w:r w:rsidRPr="00D7505F">
        <w:rPr>
          <w:rFonts w:ascii="Calibri" w:hAnsi="Calibri" w:cs="Arial"/>
          <w:sz w:val="22"/>
          <w:szCs w:val="22"/>
        </w:rPr>
        <w:t xml:space="preserve">werden. Auf diese Weise </w:t>
      </w:r>
      <w:r>
        <w:rPr>
          <w:rFonts w:ascii="Calibri" w:hAnsi="Calibri" w:cs="Arial"/>
          <w:sz w:val="22"/>
          <w:szCs w:val="22"/>
        </w:rPr>
        <w:t>sind solche</w:t>
      </w:r>
      <w:r w:rsidRPr="00D7505F">
        <w:rPr>
          <w:rFonts w:ascii="Calibri" w:hAnsi="Calibri" w:cs="Arial"/>
          <w:sz w:val="22"/>
          <w:szCs w:val="22"/>
        </w:rPr>
        <w:t xml:space="preserve"> Förderlänge</w:t>
      </w:r>
      <w:r>
        <w:rPr>
          <w:rFonts w:ascii="Calibri" w:hAnsi="Calibri" w:cs="Arial"/>
          <w:sz w:val="22"/>
          <w:szCs w:val="22"/>
        </w:rPr>
        <w:t>n</w:t>
      </w:r>
      <w:r w:rsidRPr="00D7505F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sehr flexibel einsetzbar</w:t>
      </w:r>
      <w:r w:rsidRPr="00D7505F">
        <w:rPr>
          <w:rFonts w:ascii="Calibri" w:hAnsi="Calibri" w:cs="Arial"/>
          <w:sz w:val="22"/>
          <w:szCs w:val="22"/>
        </w:rPr>
        <w:t>, je nach den räumlichen Gegebenheiten.</w:t>
      </w:r>
      <w:r w:rsidR="00991B62">
        <w:rPr>
          <w:rFonts w:ascii="Calibri" w:hAnsi="Calibri" w:cs="Arial"/>
          <w:sz w:val="22"/>
          <w:szCs w:val="22"/>
        </w:rPr>
        <w:t xml:space="preserve"> Der ebenfalls aus Edelstahl gefertigte</w:t>
      </w:r>
      <w:r w:rsidR="00991B62" w:rsidRPr="003009DD">
        <w:rPr>
          <w:rFonts w:ascii="Calibri" w:hAnsi="Calibri" w:cs="Arial"/>
          <w:sz w:val="22"/>
          <w:szCs w:val="22"/>
        </w:rPr>
        <w:t xml:space="preserve"> Trichter der Förderschnecke </w:t>
      </w:r>
      <w:r w:rsidR="00991B62">
        <w:rPr>
          <w:rFonts w:ascii="Calibri" w:hAnsi="Calibri" w:cs="Arial"/>
          <w:sz w:val="22"/>
          <w:szCs w:val="22"/>
        </w:rPr>
        <w:t xml:space="preserve">kann manuell, per Kippmaschine oder per Kran </w:t>
      </w:r>
      <w:r w:rsidR="00991B62" w:rsidRPr="003009DD">
        <w:rPr>
          <w:rFonts w:ascii="Calibri" w:hAnsi="Calibri" w:cs="Arial"/>
          <w:sz w:val="22"/>
          <w:szCs w:val="22"/>
        </w:rPr>
        <w:t xml:space="preserve">mit einem </w:t>
      </w:r>
      <w:r w:rsidR="002D2994">
        <w:rPr>
          <w:rFonts w:ascii="Calibri" w:hAnsi="Calibri" w:cs="Arial"/>
          <w:sz w:val="22"/>
          <w:szCs w:val="22"/>
        </w:rPr>
        <w:t>„B</w:t>
      </w:r>
      <w:r w:rsidR="00991B62" w:rsidRPr="003009DD">
        <w:rPr>
          <w:rFonts w:ascii="Calibri" w:hAnsi="Calibri" w:cs="Arial"/>
          <w:sz w:val="22"/>
          <w:szCs w:val="22"/>
        </w:rPr>
        <w:t xml:space="preserve">ig </w:t>
      </w:r>
      <w:r w:rsidR="002D2994">
        <w:rPr>
          <w:rFonts w:ascii="Calibri" w:hAnsi="Calibri" w:cs="Arial"/>
          <w:sz w:val="22"/>
          <w:szCs w:val="22"/>
        </w:rPr>
        <w:t>B</w:t>
      </w:r>
      <w:r w:rsidR="00991B62" w:rsidRPr="003009DD">
        <w:rPr>
          <w:rFonts w:ascii="Calibri" w:hAnsi="Calibri" w:cs="Arial"/>
          <w:sz w:val="22"/>
          <w:szCs w:val="22"/>
        </w:rPr>
        <w:t>ag</w:t>
      </w:r>
      <w:r w:rsidR="002D2994">
        <w:rPr>
          <w:rFonts w:ascii="Calibri" w:hAnsi="Calibri" w:cs="Arial"/>
          <w:sz w:val="22"/>
          <w:szCs w:val="22"/>
        </w:rPr>
        <w:t>“</w:t>
      </w:r>
      <w:r w:rsidR="00991B62" w:rsidRPr="003009DD">
        <w:rPr>
          <w:rFonts w:ascii="Calibri" w:hAnsi="Calibri" w:cs="Arial"/>
          <w:sz w:val="22"/>
          <w:szCs w:val="22"/>
        </w:rPr>
        <w:t xml:space="preserve"> beladen</w:t>
      </w:r>
      <w:r w:rsidR="00991B62">
        <w:rPr>
          <w:rFonts w:ascii="Calibri" w:hAnsi="Calibri" w:cs="Arial"/>
          <w:sz w:val="22"/>
          <w:szCs w:val="22"/>
        </w:rPr>
        <w:t xml:space="preserve"> werden.</w:t>
      </w:r>
    </w:p>
    <w:p w:rsidR="00E10613" w:rsidRPr="00866CB4" w:rsidRDefault="00E10613" w:rsidP="00E10613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Ein weiterer Vorteil der Förderschnecken von EAP Lachnit ist ihr Einsatz als Dosierer: M</w:t>
      </w:r>
      <w:r w:rsidRPr="00D7505F">
        <w:rPr>
          <w:rFonts w:ascii="Calibri" w:hAnsi="Calibri" w:cs="Arial"/>
          <w:sz w:val="22"/>
          <w:szCs w:val="22"/>
        </w:rPr>
        <w:t>it einer bestimmten Umdrehung</w:t>
      </w:r>
      <w:r>
        <w:rPr>
          <w:rFonts w:ascii="Calibri" w:hAnsi="Calibri" w:cs="Arial"/>
          <w:sz w:val="22"/>
          <w:szCs w:val="22"/>
        </w:rPr>
        <w:t xml:space="preserve"> kann</w:t>
      </w:r>
      <w:r w:rsidRPr="00D7505F">
        <w:rPr>
          <w:rFonts w:ascii="Calibri" w:hAnsi="Calibri" w:cs="Arial"/>
          <w:sz w:val="22"/>
          <w:szCs w:val="22"/>
        </w:rPr>
        <w:t xml:space="preserve"> eine genau bemessene Dosierung des Fördergutes ermöglich</w:t>
      </w:r>
      <w:r>
        <w:rPr>
          <w:rFonts w:ascii="Calibri" w:hAnsi="Calibri" w:cs="Arial"/>
          <w:sz w:val="22"/>
          <w:szCs w:val="22"/>
        </w:rPr>
        <w:t>t werd</w:t>
      </w:r>
      <w:r w:rsidRPr="00D7505F">
        <w:rPr>
          <w:rFonts w:ascii="Calibri" w:hAnsi="Calibri" w:cs="Arial"/>
          <w:sz w:val="22"/>
          <w:szCs w:val="22"/>
        </w:rPr>
        <w:t xml:space="preserve">en. </w:t>
      </w:r>
      <w:r>
        <w:rPr>
          <w:rFonts w:ascii="Calibri" w:hAnsi="Calibri" w:cs="Arial"/>
          <w:sz w:val="22"/>
          <w:szCs w:val="22"/>
        </w:rPr>
        <w:t xml:space="preserve">In der Lebensmittelproduktion kommen die Förderschnecken beispielsweise </w:t>
      </w:r>
      <w:r w:rsidRPr="00866CB4">
        <w:rPr>
          <w:rFonts w:ascii="Calibri" w:hAnsi="Calibri" w:cs="Arial"/>
          <w:sz w:val="22"/>
          <w:szCs w:val="22"/>
        </w:rPr>
        <w:t>zur Dosierung von Schüttg</w:t>
      </w:r>
      <w:r>
        <w:rPr>
          <w:rFonts w:ascii="Calibri" w:hAnsi="Calibri" w:cs="Arial"/>
          <w:sz w:val="22"/>
          <w:szCs w:val="22"/>
        </w:rPr>
        <w:t xml:space="preserve">ütern wie Grieß oder Reis, </w:t>
      </w:r>
      <w:r w:rsidRPr="005B2EA6">
        <w:rPr>
          <w:rFonts w:ascii="Calibri" w:hAnsi="Calibri" w:cs="Arial"/>
          <w:sz w:val="22"/>
          <w:szCs w:val="22"/>
        </w:rPr>
        <w:t>aber auch Fleischprodukte</w:t>
      </w:r>
      <w:r>
        <w:rPr>
          <w:rFonts w:ascii="Calibri" w:hAnsi="Calibri" w:cs="Arial"/>
          <w:sz w:val="22"/>
          <w:szCs w:val="22"/>
        </w:rPr>
        <w:t>, zum Einsatz. Hier wird die exakte Menge für die Verarbeitung dosiert. E</w:t>
      </w:r>
      <w:r w:rsidRPr="00866CB4">
        <w:rPr>
          <w:rFonts w:ascii="Calibri" w:hAnsi="Calibri" w:cs="Arial"/>
          <w:sz w:val="22"/>
          <w:szCs w:val="22"/>
        </w:rPr>
        <w:t xml:space="preserve">in Niveausensor zeigt </w:t>
      </w:r>
      <w:r>
        <w:rPr>
          <w:rFonts w:ascii="Calibri" w:hAnsi="Calibri" w:cs="Arial"/>
          <w:sz w:val="22"/>
          <w:szCs w:val="22"/>
        </w:rPr>
        <w:t xml:space="preserve">dabei </w:t>
      </w:r>
      <w:r w:rsidRPr="00866CB4">
        <w:rPr>
          <w:rFonts w:ascii="Calibri" w:hAnsi="Calibri" w:cs="Arial"/>
          <w:sz w:val="22"/>
          <w:szCs w:val="22"/>
        </w:rPr>
        <w:t>an, wenn der Einfülltrichter leer ist</w:t>
      </w:r>
      <w:r>
        <w:rPr>
          <w:rFonts w:ascii="Calibri" w:hAnsi="Calibri" w:cs="Arial"/>
          <w:sz w:val="22"/>
          <w:szCs w:val="22"/>
        </w:rPr>
        <w:t xml:space="preserve">. </w:t>
      </w:r>
    </w:p>
    <w:p w:rsidR="00E10613" w:rsidRDefault="00E10613" w:rsidP="00E10613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Die Fördermenge und -höhe passt der Sondermaschinenbauer EAP Lachnit auf Wunsch den Anforderungen an. Er setzt bei der Ausführung der Geräte auf Edelstahl. Dies hat den Vorteil, dass die </w:t>
      </w:r>
      <w:r w:rsidRPr="00D7505F">
        <w:rPr>
          <w:rFonts w:ascii="Calibri" w:hAnsi="Calibri" w:cs="Arial"/>
          <w:sz w:val="22"/>
          <w:szCs w:val="22"/>
        </w:rPr>
        <w:t>Oberflächen absolut glatt</w:t>
      </w:r>
      <w:r w:rsidRPr="00C82618">
        <w:rPr>
          <w:rFonts w:ascii="Calibri" w:hAnsi="Calibri" w:cs="Arial"/>
          <w:sz w:val="22"/>
          <w:szCs w:val="22"/>
        </w:rPr>
        <w:t xml:space="preserve"> </w:t>
      </w:r>
      <w:r w:rsidRPr="00D7505F">
        <w:rPr>
          <w:rFonts w:ascii="Calibri" w:hAnsi="Calibri" w:cs="Arial"/>
          <w:sz w:val="22"/>
          <w:szCs w:val="22"/>
        </w:rPr>
        <w:t>sind</w:t>
      </w:r>
      <w:r>
        <w:rPr>
          <w:rFonts w:ascii="Calibri" w:hAnsi="Calibri" w:cs="Arial"/>
          <w:sz w:val="22"/>
          <w:szCs w:val="22"/>
        </w:rPr>
        <w:t xml:space="preserve">. </w:t>
      </w:r>
      <w:r w:rsidRPr="00D7505F">
        <w:rPr>
          <w:rFonts w:ascii="Calibri" w:hAnsi="Calibri" w:cs="Arial"/>
          <w:sz w:val="22"/>
          <w:szCs w:val="22"/>
        </w:rPr>
        <w:t xml:space="preserve">Anlagerungen werden </w:t>
      </w:r>
      <w:r>
        <w:rPr>
          <w:rFonts w:ascii="Calibri" w:hAnsi="Calibri" w:cs="Arial"/>
          <w:sz w:val="22"/>
          <w:szCs w:val="22"/>
        </w:rPr>
        <w:t xml:space="preserve">so </w:t>
      </w:r>
      <w:r w:rsidRPr="00D7505F">
        <w:rPr>
          <w:rFonts w:ascii="Calibri" w:hAnsi="Calibri" w:cs="Arial"/>
          <w:sz w:val="22"/>
          <w:szCs w:val="22"/>
        </w:rPr>
        <w:t>auf ein Minimum reduziert.</w:t>
      </w:r>
      <w:r>
        <w:rPr>
          <w:rFonts w:ascii="Calibri" w:hAnsi="Calibri" w:cs="Arial"/>
          <w:sz w:val="22"/>
          <w:szCs w:val="22"/>
        </w:rPr>
        <w:t xml:space="preserve"> Die Anlagen können daher schnell und gründlich gereinigt werden. Auch der </w:t>
      </w:r>
      <w:r w:rsidRPr="00D7505F">
        <w:rPr>
          <w:rFonts w:ascii="Calibri" w:hAnsi="Calibri" w:cs="Arial"/>
          <w:sz w:val="22"/>
          <w:szCs w:val="22"/>
        </w:rPr>
        <w:t>Schaltschrank</w:t>
      </w:r>
      <w:r>
        <w:rPr>
          <w:rFonts w:ascii="Calibri" w:hAnsi="Calibri" w:cs="Arial"/>
          <w:sz w:val="22"/>
          <w:szCs w:val="22"/>
        </w:rPr>
        <w:t xml:space="preserve"> für die </w:t>
      </w:r>
      <w:r w:rsidRPr="00D7505F">
        <w:rPr>
          <w:rFonts w:ascii="Calibri" w:hAnsi="Calibri" w:cs="Arial"/>
          <w:sz w:val="22"/>
          <w:szCs w:val="22"/>
        </w:rPr>
        <w:t xml:space="preserve">Elektrik </w:t>
      </w:r>
      <w:r>
        <w:rPr>
          <w:rFonts w:ascii="Calibri" w:hAnsi="Calibri" w:cs="Arial"/>
          <w:sz w:val="22"/>
          <w:szCs w:val="22"/>
        </w:rPr>
        <w:t xml:space="preserve">wird </w:t>
      </w:r>
      <w:r w:rsidRPr="00D7505F">
        <w:rPr>
          <w:rFonts w:ascii="Calibri" w:hAnsi="Calibri" w:cs="Arial"/>
          <w:sz w:val="22"/>
          <w:szCs w:val="22"/>
        </w:rPr>
        <w:t>komplett in Edelstahl</w:t>
      </w:r>
      <w:r>
        <w:rPr>
          <w:rFonts w:ascii="Calibri" w:hAnsi="Calibri" w:cs="Arial"/>
          <w:sz w:val="22"/>
          <w:szCs w:val="22"/>
        </w:rPr>
        <w:t xml:space="preserve"> ausgeführt. </w:t>
      </w:r>
    </w:p>
    <w:p w:rsidR="0021394C" w:rsidRPr="00D7505F" w:rsidRDefault="0021394C" w:rsidP="00E10613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</w:p>
    <w:p w:rsidR="0021394C" w:rsidRDefault="009B314C" w:rsidP="00521036">
      <w:pPr>
        <w:spacing w:line="360" w:lineRule="auto"/>
        <w:ind w:left="0"/>
        <w:jc w:val="both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4</w:t>
      </w:r>
      <w:r w:rsidR="00AE41FB">
        <w:rPr>
          <w:rFonts w:ascii="Calibri" w:hAnsi="Calibri" w:cs="Arial"/>
          <w:i/>
          <w:color w:val="000000"/>
          <w:spacing w:val="0"/>
          <w:sz w:val="18"/>
          <w:szCs w:val="18"/>
        </w:rPr>
        <w:t>89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3</w:t>
      </w:r>
      <w:r w:rsidR="00AE41FB">
        <w:rPr>
          <w:rFonts w:ascii="Calibri" w:hAnsi="Calibri" w:cs="Arial"/>
          <w:i/>
          <w:color w:val="000000"/>
          <w:spacing w:val="0"/>
          <w:sz w:val="18"/>
          <w:szCs w:val="18"/>
        </w:rPr>
        <w:t>308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</w:p>
    <w:p w:rsidR="006A28B6" w:rsidRPr="00E21C7B" w:rsidRDefault="00521036" w:rsidP="00521036">
      <w:pPr>
        <w:spacing w:line="360" w:lineRule="auto"/>
        <w:ind w:left="0"/>
        <w:jc w:val="both"/>
        <w:rPr>
          <w:rFonts w:ascii="Calibri" w:hAnsi="Calibri" w:cs="Arial"/>
          <w:i/>
          <w:color w:val="000000"/>
          <w:spacing w:val="0"/>
          <w:sz w:val="18"/>
          <w:szCs w:val="18"/>
        </w:rPr>
      </w:pPr>
      <w:r w:rsidRPr="00E21C7B">
        <w:rPr>
          <w:rFonts w:ascii="Calibri" w:hAnsi="Calibri" w:cs="Arial"/>
          <w:i/>
          <w:sz w:val="18"/>
          <w:szCs w:val="18"/>
        </w:rPr>
        <w:t>Autor: Stefan Graf, Freier Fachjournalist, Darmstadt</w:t>
      </w:r>
    </w:p>
    <w:p w:rsidR="00366F77" w:rsidRDefault="00366F77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  <w:bookmarkStart w:id="0" w:name="_GoBack"/>
      <w:bookmarkEnd w:id="0"/>
    </w:p>
    <w:p w:rsidR="00BA4815" w:rsidRPr="00F842E1" w:rsidRDefault="00BA4815" w:rsidP="00BA4815">
      <w:pPr>
        <w:spacing w:line="360" w:lineRule="auto"/>
        <w:ind w:left="0"/>
        <w:jc w:val="both"/>
        <w:rPr>
          <w:rFonts w:ascii="Calibri" w:hAnsi="Calibri" w:cs="Arial"/>
          <w:color w:val="000000"/>
          <w:u w:val="single"/>
        </w:rPr>
      </w:pPr>
      <w:r w:rsidRPr="00F842E1">
        <w:rPr>
          <w:rFonts w:ascii="Calibri" w:hAnsi="Calibri" w:cs="Arial"/>
          <w:color w:val="000000"/>
          <w:u w:val="single"/>
        </w:rPr>
        <w:t>Bildunterschriften (4 Motive):</w:t>
      </w:r>
    </w:p>
    <w:p w:rsidR="0021394C" w:rsidRPr="00614AB1" w:rsidRDefault="0021394C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:rsidR="00BA4815" w:rsidRDefault="00BA4815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 xml:space="preserve">Bild 1: </w:t>
      </w:r>
      <w:r w:rsidR="006854E6" w:rsidRPr="006854E6">
        <w:rPr>
          <w:rFonts w:ascii="Calibri" w:hAnsi="Calibri" w:cs="Arial"/>
          <w:color w:val="000000"/>
        </w:rPr>
        <w:t>EAP Lachnit bietet robuste Förderschnecken für den Einsatz in der Lebensmittel-, Chemie- und Pharmaproduktion an</w:t>
      </w:r>
      <w:r w:rsidR="006854E6">
        <w:rPr>
          <w:rFonts w:ascii="Calibri" w:hAnsi="Calibri" w:cs="Arial"/>
          <w:color w:val="000000"/>
        </w:rPr>
        <w:t>.</w:t>
      </w:r>
    </w:p>
    <w:p w:rsidR="0021394C" w:rsidRPr="00E70032" w:rsidRDefault="0021394C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:rsidR="00BA4815" w:rsidRPr="00E70032" w:rsidRDefault="00BA4815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 xml:space="preserve">Bild 2: </w:t>
      </w:r>
      <w:r w:rsidR="006854E6">
        <w:rPr>
          <w:rFonts w:ascii="Calibri" w:hAnsi="Calibri" w:cs="Arial"/>
          <w:color w:val="000000"/>
        </w:rPr>
        <w:t xml:space="preserve">Eine sehr </w:t>
      </w:r>
      <w:r w:rsidR="006854E6" w:rsidRPr="006854E6">
        <w:rPr>
          <w:rFonts w:ascii="Calibri" w:hAnsi="Calibri" w:cs="Arial"/>
          <w:color w:val="000000"/>
        </w:rPr>
        <w:t>wirtschaftliche Anwendung für die Förderschnecken sind ReWork-Prozesse in der Lebensmittelproduktion, wie etwa der Herstellung von Schmelzkäse</w:t>
      </w:r>
      <w:r w:rsidR="006854E6">
        <w:rPr>
          <w:rFonts w:ascii="Calibri" w:hAnsi="Calibri" w:cs="Arial"/>
          <w:color w:val="000000"/>
        </w:rPr>
        <w:t>.</w:t>
      </w:r>
    </w:p>
    <w:p w:rsidR="00BA4815" w:rsidRDefault="00BA4815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lastRenderedPageBreak/>
        <w:t xml:space="preserve">Bild 3: </w:t>
      </w:r>
      <w:r w:rsidR="006854E6" w:rsidRPr="006854E6">
        <w:rPr>
          <w:rFonts w:ascii="Calibri" w:hAnsi="Calibri" w:cs="Arial"/>
          <w:color w:val="000000"/>
        </w:rPr>
        <w:t>Optional können die Förderschnecken im Betrieb dampfbeheizt werden</w:t>
      </w:r>
      <w:r w:rsidR="006854E6">
        <w:rPr>
          <w:rFonts w:ascii="Calibri" w:hAnsi="Calibri" w:cs="Arial"/>
          <w:color w:val="000000"/>
        </w:rPr>
        <w:t>, d</w:t>
      </w:r>
      <w:r w:rsidR="006854E6" w:rsidRPr="006854E6">
        <w:rPr>
          <w:rFonts w:ascii="Calibri" w:hAnsi="Calibri" w:cs="Arial"/>
          <w:color w:val="000000"/>
        </w:rPr>
        <w:t>adurch lassen sich beispielsweise pulverförmige, pastöse oder flüssige Schüttgüter kontinuierlich erwärmen und/oder trocknen.</w:t>
      </w:r>
    </w:p>
    <w:p w:rsidR="0021394C" w:rsidRDefault="0021394C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:rsidR="006854E6" w:rsidRPr="00E70032" w:rsidRDefault="006854E6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 xml:space="preserve">Bild </w:t>
      </w:r>
      <w:r>
        <w:rPr>
          <w:rFonts w:ascii="Calibri" w:hAnsi="Calibri" w:cs="Arial"/>
          <w:color w:val="000000"/>
        </w:rPr>
        <w:t>4</w:t>
      </w:r>
      <w:r w:rsidRPr="00E70032">
        <w:rPr>
          <w:rFonts w:ascii="Calibri" w:hAnsi="Calibri" w:cs="Arial"/>
          <w:color w:val="000000"/>
        </w:rPr>
        <w:t>:</w:t>
      </w:r>
      <w:r>
        <w:rPr>
          <w:rFonts w:ascii="Calibri" w:hAnsi="Calibri" w:cs="Arial"/>
          <w:color w:val="000000"/>
        </w:rPr>
        <w:t xml:space="preserve"> </w:t>
      </w:r>
      <w:r w:rsidR="00366F77" w:rsidRPr="00366F77">
        <w:rPr>
          <w:rFonts w:ascii="Calibri" w:hAnsi="Calibri" w:cs="Arial"/>
          <w:color w:val="000000"/>
        </w:rPr>
        <w:t>Der aus Edelstahl gefertigte Trichter der Förderschnecke kann manuell, per Kippmaschine oder per Kran mit einem „Big Bag“ beladen werden.</w:t>
      </w:r>
    </w:p>
    <w:p w:rsidR="0021394C" w:rsidRDefault="0021394C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:rsidR="00BA4815" w:rsidRPr="00E70032" w:rsidRDefault="00BA4815" w:rsidP="00BA4815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E70032">
        <w:rPr>
          <w:rFonts w:ascii="Calibri" w:hAnsi="Calibri" w:cs="Arial"/>
          <w:color w:val="000000"/>
        </w:rPr>
        <w:t xml:space="preserve">Bilder: </w:t>
      </w:r>
      <w:r w:rsidR="00366F77" w:rsidRPr="006854E6">
        <w:rPr>
          <w:rFonts w:ascii="Calibri" w:hAnsi="Calibri" w:cs="Arial"/>
          <w:color w:val="000000"/>
        </w:rPr>
        <w:t>EAP Lachnit</w:t>
      </w:r>
    </w:p>
    <w:p w:rsidR="006A28B6" w:rsidRPr="00161B36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B51EA4" w:rsidRDefault="006A28B6" w:rsidP="006A28B6">
      <w:pPr>
        <w:spacing w:line="360" w:lineRule="auto"/>
        <w:ind w:left="0"/>
        <w:jc w:val="both"/>
        <w:outlineLvl w:val="0"/>
        <w:rPr>
          <w:rFonts w:ascii="Calibri" w:hAnsi="Calibri"/>
          <w:b/>
          <w:spacing w:val="-10"/>
          <w:sz w:val="22"/>
          <w:szCs w:val="22"/>
        </w:rPr>
      </w:pPr>
      <w:r w:rsidRPr="00B51EA4">
        <w:rPr>
          <w:rFonts w:ascii="Calibri" w:hAnsi="Calibri"/>
          <w:b/>
          <w:i/>
          <w:spacing w:val="-10"/>
          <w:sz w:val="22"/>
          <w:szCs w:val="22"/>
        </w:rPr>
        <w:t xml:space="preserve">Hinweis für Redakteure: 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Text und Bilder stehen unter 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</w:t>
      </w:r>
      <w:r w:rsidR="00C23915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-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box.de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 zum Download bereit!</w:t>
      </w:r>
    </w:p>
    <w:p w:rsidR="002D2994" w:rsidRDefault="002D2994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tbl>
      <w:tblPr>
        <w:tblW w:w="79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2693"/>
      </w:tblGrid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z w:val="16"/>
                <w:szCs w:val="16"/>
              </w:rPr>
              <w:t>Anbieter:</w:t>
            </w:r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pacing w:val="0"/>
                <w:sz w:val="16"/>
                <w:szCs w:val="16"/>
              </w:rPr>
              <w:t>Presseagentur:</w:t>
            </w:r>
          </w:p>
        </w:tc>
      </w:tr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EAP Lachnit GmbH</w:t>
            </w:r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Graf &amp; Creative PR</w:t>
            </w:r>
          </w:p>
        </w:tc>
      </w:tr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Robert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Bosch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Str. 7</w:t>
            </w:r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D-</w:t>
            </w:r>
            <w:r w:rsidRPr="00926959">
              <w:rPr>
                <w:rFonts w:ascii="Calibri" w:hAnsi="Calibri"/>
                <w:sz w:val="16"/>
                <w:szCs w:val="16"/>
              </w:rPr>
              <w:t>89275 Elchingen</w:t>
            </w:r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Internet: </w:t>
            </w:r>
            <w:hyperlink r:id="rId8" w:history="1">
              <w:r w:rsidRPr="00DC798B">
                <w:rPr>
                  <w:rFonts w:ascii="Calibri" w:hAnsi="Calibri"/>
                  <w:sz w:val="16"/>
                  <w:szCs w:val="16"/>
                </w:rPr>
                <w:t>www.lachnit</w:t>
              </w:r>
              <w:r>
                <w:rPr>
                  <w:rFonts w:ascii="Calibri" w:hAnsi="Calibri"/>
                  <w:sz w:val="16"/>
                  <w:szCs w:val="16"/>
                </w:rPr>
                <w:t>-</w:t>
              </w:r>
              <w:r w:rsidRPr="00DC798B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Internet: www.pr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box.de</w:t>
            </w:r>
          </w:p>
        </w:tc>
      </w:tr>
      <w:tr w:rsidR="002D2994" w:rsidRPr="00A61175" w:rsidTr="00726BE8">
        <w:tc>
          <w:tcPr>
            <w:tcW w:w="5245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>E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z w:val="16"/>
                <w:szCs w:val="16"/>
              </w:rPr>
              <w:t xml:space="preserve">Mail: </w:t>
            </w:r>
            <w:hyperlink r:id="rId9" w:history="1">
              <w:r w:rsidRPr="00926959">
                <w:rPr>
                  <w:rFonts w:ascii="Calibri" w:hAnsi="Calibri"/>
                  <w:sz w:val="16"/>
                  <w:szCs w:val="16"/>
                </w:rPr>
                <w:t>info@lachnit</w:t>
              </w:r>
              <w:r>
                <w:rPr>
                  <w:rFonts w:ascii="Calibri" w:hAnsi="Calibri"/>
                  <w:sz w:val="16"/>
                  <w:szCs w:val="16"/>
                </w:rPr>
                <w:t>-</w:t>
              </w:r>
              <w:r w:rsidRPr="00926959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693" w:type="dxa"/>
          </w:tcPr>
          <w:p w:rsidR="002D2994" w:rsidRPr="00A61175" w:rsidRDefault="002D2994" w:rsidP="00726BE8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</w:tr>
    </w:tbl>
    <w:p w:rsidR="002D2994" w:rsidRDefault="002D2994" w:rsidP="006A28B6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sectPr w:rsidR="002D2994">
      <w:footnotePr>
        <w:pos w:val="beneathText"/>
      </w:footnotePr>
      <w:pgSz w:w="11905" w:h="16837"/>
      <w:pgMar w:top="1418" w:right="2835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F768B"/>
    <w:multiLevelType w:val="hybridMultilevel"/>
    <w:tmpl w:val="48289AFE"/>
    <w:lvl w:ilvl="0" w:tplc="B7BADA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4FDB4E04"/>
    <w:multiLevelType w:val="hybridMultilevel"/>
    <w:tmpl w:val="8C7C06BA"/>
    <w:lvl w:ilvl="0" w:tplc="B702553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6">
    <w:nsid w:val="56D97D6F"/>
    <w:multiLevelType w:val="multilevel"/>
    <w:tmpl w:val="CD12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12E8"/>
    <w:rsid w:val="00006611"/>
    <w:rsid w:val="00022980"/>
    <w:rsid w:val="00037397"/>
    <w:rsid w:val="00045EBE"/>
    <w:rsid w:val="00074A3F"/>
    <w:rsid w:val="00081546"/>
    <w:rsid w:val="00082DC2"/>
    <w:rsid w:val="000900CE"/>
    <w:rsid w:val="00097388"/>
    <w:rsid w:val="000A743B"/>
    <w:rsid w:val="000D7B12"/>
    <w:rsid w:val="000F664E"/>
    <w:rsid w:val="001008C2"/>
    <w:rsid w:val="00102CCC"/>
    <w:rsid w:val="00104F85"/>
    <w:rsid w:val="00127EDB"/>
    <w:rsid w:val="00134C31"/>
    <w:rsid w:val="00136171"/>
    <w:rsid w:val="00136253"/>
    <w:rsid w:val="0015579F"/>
    <w:rsid w:val="00160FCA"/>
    <w:rsid w:val="0016234F"/>
    <w:rsid w:val="0016706E"/>
    <w:rsid w:val="00170223"/>
    <w:rsid w:val="001A5C85"/>
    <w:rsid w:val="001C46A2"/>
    <w:rsid w:val="001D401D"/>
    <w:rsid w:val="001D5A88"/>
    <w:rsid w:val="001E1685"/>
    <w:rsid w:val="001E305C"/>
    <w:rsid w:val="001E4D54"/>
    <w:rsid w:val="00204E69"/>
    <w:rsid w:val="0021394C"/>
    <w:rsid w:val="00215F5A"/>
    <w:rsid w:val="00241CAE"/>
    <w:rsid w:val="00255CEC"/>
    <w:rsid w:val="00262134"/>
    <w:rsid w:val="002859A8"/>
    <w:rsid w:val="002941A8"/>
    <w:rsid w:val="00294F96"/>
    <w:rsid w:val="002A182E"/>
    <w:rsid w:val="002A3AFD"/>
    <w:rsid w:val="002B453C"/>
    <w:rsid w:val="002C6D16"/>
    <w:rsid w:val="002D2994"/>
    <w:rsid w:val="003009DD"/>
    <w:rsid w:val="003437EE"/>
    <w:rsid w:val="00343942"/>
    <w:rsid w:val="003472C9"/>
    <w:rsid w:val="003652DC"/>
    <w:rsid w:val="00366F77"/>
    <w:rsid w:val="00370294"/>
    <w:rsid w:val="00372BEB"/>
    <w:rsid w:val="00375EEB"/>
    <w:rsid w:val="003812F9"/>
    <w:rsid w:val="003865A7"/>
    <w:rsid w:val="003904CC"/>
    <w:rsid w:val="00392B21"/>
    <w:rsid w:val="003A7E70"/>
    <w:rsid w:val="003B3D7B"/>
    <w:rsid w:val="003B5CD7"/>
    <w:rsid w:val="003C1133"/>
    <w:rsid w:val="003D0C25"/>
    <w:rsid w:val="003E047C"/>
    <w:rsid w:val="003F19B0"/>
    <w:rsid w:val="003F74FE"/>
    <w:rsid w:val="00400120"/>
    <w:rsid w:val="00401E2A"/>
    <w:rsid w:val="00407CE6"/>
    <w:rsid w:val="00410B31"/>
    <w:rsid w:val="00432A08"/>
    <w:rsid w:val="00433F42"/>
    <w:rsid w:val="00436925"/>
    <w:rsid w:val="004740B0"/>
    <w:rsid w:val="00487B6E"/>
    <w:rsid w:val="004949D0"/>
    <w:rsid w:val="004A0AA3"/>
    <w:rsid w:val="004A38D8"/>
    <w:rsid w:val="004D35F1"/>
    <w:rsid w:val="004D6D95"/>
    <w:rsid w:val="004E5B39"/>
    <w:rsid w:val="004E729C"/>
    <w:rsid w:val="00501D2F"/>
    <w:rsid w:val="0050220C"/>
    <w:rsid w:val="00521036"/>
    <w:rsid w:val="005270E4"/>
    <w:rsid w:val="00531514"/>
    <w:rsid w:val="00547081"/>
    <w:rsid w:val="00551845"/>
    <w:rsid w:val="00561091"/>
    <w:rsid w:val="005666B6"/>
    <w:rsid w:val="005801D3"/>
    <w:rsid w:val="00583839"/>
    <w:rsid w:val="00586A7F"/>
    <w:rsid w:val="005A6DFA"/>
    <w:rsid w:val="005B2EA6"/>
    <w:rsid w:val="005C1532"/>
    <w:rsid w:val="005C1C99"/>
    <w:rsid w:val="005C5A84"/>
    <w:rsid w:val="005C7F94"/>
    <w:rsid w:val="005F0B48"/>
    <w:rsid w:val="006106E0"/>
    <w:rsid w:val="00622E19"/>
    <w:rsid w:val="0062725F"/>
    <w:rsid w:val="0064006F"/>
    <w:rsid w:val="00657348"/>
    <w:rsid w:val="006577F2"/>
    <w:rsid w:val="00664D2C"/>
    <w:rsid w:val="00671863"/>
    <w:rsid w:val="006854E6"/>
    <w:rsid w:val="006958C1"/>
    <w:rsid w:val="00697BC2"/>
    <w:rsid w:val="006A28B6"/>
    <w:rsid w:val="006A5C3D"/>
    <w:rsid w:val="006A5EEE"/>
    <w:rsid w:val="006B7C36"/>
    <w:rsid w:val="006C6E78"/>
    <w:rsid w:val="006D24A6"/>
    <w:rsid w:val="006D3019"/>
    <w:rsid w:val="006D412D"/>
    <w:rsid w:val="006D60AA"/>
    <w:rsid w:val="007020AC"/>
    <w:rsid w:val="00705261"/>
    <w:rsid w:val="0071457C"/>
    <w:rsid w:val="00783159"/>
    <w:rsid w:val="00790BAD"/>
    <w:rsid w:val="00795C65"/>
    <w:rsid w:val="00796018"/>
    <w:rsid w:val="00796129"/>
    <w:rsid w:val="007A5763"/>
    <w:rsid w:val="007E150E"/>
    <w:rsid w:val="007E5B6F"/>
    <w:rsid w:val="00803E87"/>
    <w:rsid w:val="00805B4B"/>
    <w:rsid w:val="00810CB9"/>
    <w:rsid w:val="00823ABA"/>
    <w:rsid w:val="008257CE"/>
    <w:rsid w:val="00844ED8"/>
    <w:rsid w:val="00851123"/>
    <w:rsid w:val="00866CB4"/>
    <w:rsid w:val="00871036"/>
    <w:rsid w:val="0088642B"/>
    <w:rsid w:val="008B05AB"/>
    <w:rsid w:val="008C4AA9"/>
    <w:rsid w:val="008D73E2"/>
    <w:rsid w:val="008F6E6E"/>
    <w:rsid w:val="009030AA"/>
    <w:rsid w:val="009249F0"/>
    <w:rsid w:val="00931B70"/>
    <w:rsid w:val="00952E6E"/>
    <w:rsid w:val="00964FE8"/>
    <w:rsid w:val="00975871"/>
    <w:rsid w:val="00976707"/>
    <w:rsid w:val="00991B62"/>
    <w:rsid w:val="009A24F1"/>
    <w:rsid w:val="009B124D"/>
    <w:rsid w:val="009B314C"/>
    <w:rsid w:val="009B7C4D"/>
    <w:rsid w:val="009C33B7"/>
    <w:rsid w:val="009D1252"/>
    <w:rsid w:val="009E044C"/>
    <w:rsid w:val="009E20EB"/>
    <w:rsid w:val="009E6EA1"/>
    <w:rsid w:val="009F5C20"/>
    <w:rsid w:val="00A31073"/>
    <w:rsid w:val="00A508CF"/>
    <w:rsid w:val="00A55980"/>
    <w:rsid w:val="00A65B14"/>
    <w:rsid w:val="00A6697C"/>
    <w:rsid w:val="00A7391F"/>
    <w:rsid w:val="00A762A9"/>
    <w:rsid w:val="00A81843"/>
    <w:rsid w:val="00AC57A9"/>
    <w:rsid w:val="00AE1B96"/>
    <w:rsid w:val="00AE2C0F"/>
    <w:rsid w:val="00AE41FB"/>
    <w:rsid w:val="00AF0470"/>
    <w:rsid w:val="00B1107F"/>
    <w:rsid w:val="00B1334A"/>
    <w:rsid w:val="00B21227"/>
    <w:rsid w:val="00B33D21"/>
    <w:rsid w:val="00B42F5E"/>
    <w:rsid w:val="00B94E72"/>
    <w:rsid w:val="00B95A5D"/>
    <w:rsid w:val="00BA0CE3"/>
    <w:rsid w:val="00BA336F"/>
    <w:rsid w:val="00BA4815"/>
    <w:rsid w:val="00BB599F"/>
    <w:rsid w:val="00BC4191"/>
    <w:rsid w:val="00BE702A"/>
    <w:rsid w:val="00BF190E"/>
    <w:rsid w:val="00BF200B"/>
    <w:rsid w:val="00C01CC7"/>
    <w:rsid w:val="00C15E8E"/>
    <w:rsid w:val="00C22D18"/>
    <w:rsid w:val="00C23915"/>
    <w:rsid w:val="00C33754"/>
    <w:rsid w:val="00C64269"/>
    <w:rsid w:val="00C71612"/>
    <w:rsid w:val="00C80C8B"/>
    <w:rsid w:val="00C82618"/>
    <w:rsid w:val="00CA20ED"/>
    <w:rsid w:val="00CA3723"/>
    <w:rsid w:val="00CB016A"/>
    <w:rsid w:val="00CB5C0F"/>
    <w:rsid w:val="00CC4A1F"/>
    <w:rsid w:val="00CC4D8C"/>
    <w:rsid w:val="00CE5CD8"/>
    <w:rsid w:val="00CF5498"/>
    <w:rsid w:val="00D019AF"/>
    <w:rsid w:val="00D275B3"/>
    <w:rsid w:val="00D51CB8"/>
    <w:rsid w:val="00D53D55"/>
    <w:rsid w:val="00D57CC1"/>
    <w:rsid w:val="00D63D7C"/>
    <w:rsid w:val="00D7505F"/>
    <w:rsid w:val="00D80615"/>
    <w:rsid w:val="00D81E81"/>
    <w:rsid w:val="00D84B5F"/>
    <w:rsid w:val="00D86E4B"/>
    <w:rsid w:val="00D92B2D"/>
    <w:rsid w:val="00D940DB"/>
    <w:rsid w:val="00D9667B"/>
    <w:rsid w:val="00DA481C"/>
    <w:rsid w:val="00DC58E7"/>
    <w:rsid w:val="00DC6499"/>
    <w:rsid w:val="00DC798B"/>
    <w:rsid w:val="00DD6058"/>
    <w:rsid w:val="00DE6AA8"/>
    <w:rsid w:val="00DF647E"/>
    <w:rsid w:val="00E10613"/>
    <w:rsid w:val="00E21C7B"/>
    <w:rsid w:val="00E2542A"/>
    <w:rsid w:val="00E45E79"/>
    <w:rsid w:val="00E6637F"/>
    <w:rsid w:val="00E6688E"/>
    <w:rsid w:val="00E71B97"/>
    <w:rsid w:val="00E90B41"/>
    <w:rsid w:val="00EA267B"/>
    <w:rsid w:val="00EC30B9"/>
    <w:rsid w:val="00EC648E"/>
    <w:rsid w:val="00EE7774"/>
    <w:rsid w:val="00F02D92"/>
    <w:rsid w:val="00F074CA"/>
    <w:rsid w:val="00F1235D"/>
    <w:rsid w:val="00F27F87"/>
    <w:rsid w:val="00F307A9"/>
    <w:rsid w:val="00F439BE"/>
    <w:rsid w:val="00F53FED"/>
    <w:rsid w:val="00F57A11"/>
    <w:rsid w:val="00F603F6"/>
    <w:rsid w:val="00F769DC"/>
    <w:rsid w:val="00F842E1"/>
    <w:rsid w:val="00F941E3"/>
    <w:rsid w:val="00FC5206"/>
    <w:rsid w:val="00FE4628"/>
    <w:rsid w:val="00FE69D0"/>
    <w:rsid w:val="00FF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uiPriority w:val="20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88642B"/>
    <w:pPr>
      <w:suppressAutoHyphens w:val="0"/>
      <w:ind w:left="720"/>
    </w:pPr>
    <w:rPr>
      <w:rFonts w:ascii="Times New Roman" w:eastAsia="Calibri" w:hAnsi="Times New Roman"/>
      <w:spacing w:val="0"/>
      <w:sz w:val="24"/>
      <w:szCs w:val="24"/>
      <w:lang w:eastAsia="de-DE"/>
    </w:rPr>
  </w:style>
  <w:style w:type="character" w:customStyle="1" w:styleId="st">
    <w:name w:val="st"/>
    <w:basedOn w:val="Absatz-Standardschriftart"/>
    <w:rsid w:val="00A65B14"/>
  </w:style>
  <w:style w:type="character" w:customStyle="1" w:styleId="UnresolvedMention">
    <w:name w:val="Unresolved Mention"/>
    <w:uiPriority w:val="99"/>
    <w:semiHidden/>
    <w:unhideWhenUsed/>
    <w:rsid w:val="009249F0"/>
    <w:rPr>
      <w:color w:val="605E5C"/>
      <w:shd w:val="clear" w:color="auto" w:fill="E1DFDD"/>
    </w:rPr>
  </w:style>
  <w:style w:type="character" w:customStyle="1" w:styleId="glossarylink">
    <w:name w:val="glossarylink"/>
    <w:rsid w:val="001361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uiPriority w:val="20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88642B"/>
    <w:pPr>
      <w:suppressAutoHyphens w:val="0"/>
      <w:ind w:left="720"/>
    </w:pPr>
    <w:rPr>
      <w:rFonts w:ascii="Times New Roman" w:eastAsia="Calibri" w:hAnsi="Times New Roman"/>
      <w:spacing w:val="0"/>
      <w:sz w:val="24"/>
      <w:szCs w:val="24"/>
      <w:lang w:eastAsia="de-DE"/>
    </w:rPr>
  </w:style>
  <w:style w:type="character" w:customStyle="1" w:styleId="st">
    <w:name w:val="st"/>
    <w:basedOn w:val="Absatz-Standardschriftart"/>
    <w:rsid w:val="00A65B14"/>
  </w:style>
  <w:style w:type="character" w:customStyle="1" w:styleId="UnresolvedMention">
    <w:name w:val="Unresolved Mention"/>
    <w:uiPriority w:val="99"/>
    <w:semiHidden/>
    <w:unhideWhenUsed/>
    <w:rsid w:val="009249F0"/>
    <w:rPr>
      <w:color w:val="605E5C"/>
      <w:shd w:val="clear" w:color="auto" w:fill="E1DFDD"/>
    </w:rPr>
  </w:style>
  <w:style w:type="character" w:customStyle="1" w:styleId="glossarylink">
    <w:name w:val="glossarylink"/>
    <w:rsid w:val="00136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9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chnit-foerdertechnik.d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nfo@lachnit-foerdertechnik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31233-7D04-40F1-841B-D1863906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Bisnode Informatics Deutschland GmbH</Company>
  <LinksUpToDate>false</LinksUpToDate>
  <CharactersWithSpaces>5263</CharactersWithSpaces>
  <SharedDoc>false</SharedDoc>
  <HLinks>
    <vt:vector size="12" baseType="variant">
      <vt:variant>
        <vt:i4>7208961</vt:i4>
      </vt:variant>
      <vt:variant>
        <vt:i4>3</vt:i4>
      </vt:variant>
      <vt:variant>
        <vt:i4>0</vt:i4>
      </vt:variant>
      <vt:variant>
        <vt:i4>5</vt:i4>
      </vt:variant>
      <vt:variant>
        <vt:lpwstr>mailto:info@lachnit-foerdertechnik.de</vt:lpwstr>
      </vt:variant>
      <vt:variant>
        <vt:lpwstr/>
      </vt:variant>
      <vt:variant>
        <vt:i4>262163</vt:i4>
      </vt:variant>
      <vt:variant>
        <vt:i4>0</vt:i4>
      </vt:variant>
      <vt:variant>
        <vt:i4>0</vt:i4>
      </vt:variant>
      <vt:variant>
        <vt:i4>5</vt:i4>
      </vt:variant>
      <vt:variant>
        <vt:lpwstr>http://www.lachnit-foerdertechnik.de/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>EAP Lachnit GmbH</dc:subject>
  <dc:creator>Graf &amp; Creative PR</dc:creator>
  <cp:lastModifiedBy>Kerstin Koch</cp:lastModifiedBy>
  <cp:revision>10</cp:revision>
  <cp:lastPrinted>2025-06-26T10:49:00Z</cp:lastPrinted>
  <dcterms:created xsi:type="dcterms:W3CDTF">2025-06-24T12:06:00Z</dcterms:created>
  <dcterms:modified xsi:type="dcterms:W3CDTF">2025-06-26T10:50:00Z</dcterms:modified>
</cp:coreProperties>
</file>